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highlight w:val="white"/>
          <w:rtl w:val="0"/>
        </w:rPr>
        <w:t xml:space="preserve">_</w:t>
      </w:r>
      <w:r w:rsidDel="00000000" w:rsidR="00000000" w:rsidRPr="00000000">
        <w:rPr>
          <w:rFonts w:ascii="Georgia" w:cs="Georgia" w:eastAsia="Georgia" w:hAnsi="Georgia"/>
          <w:highlight w:val="white"/>
          <w:u w:val="single"/>
          <w:rtl w:val="0"/>
        </w:rPr>
        <w:t xml:space="preserve">26</w:t>
      </w:r>
      <w:r w:rsidDel="00000000" w:rsidR="00000000" w:rsidRPr="00000000">
        <w:rPr>
          <w:rFonts w:ascii="Georgia" w:cs="Georgia" w:eastAsia="Georgia" w:hAnsi="Georgia"/>
          <w:color w:val="000000"/>
          <w:highlight w:val="white"/>
          <w:rtl w:val="0"/>
        </w:rPr>
        <w:t xml:space="preserve">_ лю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того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ОГОЛОШЕННЯ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про проведення процедури закупівлі підвісної системи реабілітації/збір цінових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(далі – «Оголошення»)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Покупець: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Благодійна організація «Благодійний фонд «Пацієнти України»  (виконавець проекту «Зміцнення спроможності надання послуг фізичної реабілітації в Україні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»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Одержувач: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згідно з документацією, що додається.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ПРЕДМЕТ ЗАКУПІВЛІ: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mallCaps w:val="1"/>
          <w:color w:val="000000"/>
          <w:rtl w:val="0"/>
        </w:rPr>
        <w:t xml:space="preserve">Підвісна система реабілітації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ТЕРМІН ПОСТАВКИ: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  не пізніше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«30» квітня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КЛЮЧОВІ КРИТЕРІЇ ОЦІНКИ ЦІНОВИХ ПРОПОЗИЦІЙ: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r w:rsidDel="00000000" w:rsidR="00000000" w:rsidRPr="00000000">
            <w:rPr>
              <w:rFonts w:ascii="Cousine" w:cs="Cousine" w:eastAsia="Cousine" w:hAnsi="Cousine"/>
              <w:color w:val="000000"/>
              <w:rtl w:val="0"/>
            </w:rPr>
            <w:t xml:space="preserve">Переможцем процедури закупівлі визнається пропозиція, яка відповідає всім умовам документації закупівлі, і є найбільш економічно вигідною.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u w:val="single"/>
          <w:rtl w:val="0"/>
        </w:rPr>
        <w:t xml:space="preserve">ДО ДАНОГО ОГОЛОШЕННЯ ДОДАЮТЬСЯ: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1.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Перелік документів, що надаються Учасником у складі цінової  пропозиції.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2.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Вимоги до предмету закупівлі та місця поставки.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3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 Форма комерційної пропозиції.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4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 Форма договору поставки.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</w:rPr>
      </w:pPr>
      <w:sdt>
        <w:sdtPr>
          <w:tag w:val="goog_rdk_5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rtl w:val="0"/>
            </w:rPr>
            <w:t xml:space="preserve">Додаток № 5</w:t>
          </w:r>
        </w:sdtContent>
      </w:sdt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Форма декларації відповідності Учасника вимогам.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УМОВИ ОПЛАТИ ТОВАРІВ: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Оплата послуг з здійснюється Покупцем на наступних умовах: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100 % оплата вартості Товару протягом 5 (п’яти) банківських днів після повного виконання зобов’язань Постачальником або на умовах, погоджених сторонами.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КОНТАКТНІ ДАНІ ЗАМОВНИКА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Додаткову інформацію можна отримати за телефоном (098)297-39-31 (Тетяна Хан) або електронною поштою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tetyana.k@patients.org.ua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ПРАВИЛА ОФОРМЛЕННЯ ЦІНОВОЇ ПРОПОЗИЦІЇ УЧАСНИКА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Учасники мають подавати цінові пропозиції та всі додатки у вигляді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сканованих копій,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завірених підписом учасника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на електронну пошту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tetyana.k@patients.org.ua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Надані копії документів мають бути розбірливими та якісними, завіреними підписами та печатками (за наявності) учасника.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Відповідальність за достовірність наданої інформації в своїй ціновій  пропозиції несе учасник.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 разі, якщо цінова пропозиція надійшла після спливу кінцевого терміну приймання цінових пропозицій, така пропозиція не розглядається. 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До участі у оцінці цінових пропозицій допускаються цінові пропозиції, які повністю відповідають умовам Оголошення та формі цінової пропозиції. 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Цінові пропозиції можуть бути підписані шляхом застосування електронного цифрового підпису.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Участь у закупівлі пов’язаних осіб або ж змова учасників торгів забороняється. У разі виявлення таких фактів, результати закупівлі буде відмінено або договір з відповідним учасником буде достроково розірвано в односторонньому порядку з відшкодуванням збитків завданих Замовнику.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КІНЦЕВИЙ ТЕРМІН ПРИЙМАННЯ ЦІНОВИХ ПРОПОЗИЦІЙ ВІД УЧАСНИКІВ ТОРГІВ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1 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”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березня 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2024 року, до 18 год. 00 хв. за київським часом.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Результати процедури закупівлі буде повідомлено протягом 7 (семи) робочих днів з дати прийняття рішення про визначення переможця листом через електронну пошту.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spacing w:after="0" w:lineRule="auto"/>
        <w:ind w:right="-1131"/>
        <w:rPr>
          <w:rFonts w:ascii="Georgia" w:cs="Georgia" w:eastAsia="Georgia" w:hAnsi="Georgia"/>
          <w:color w:val="2424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709" w:top="2130" w:left="1133" w:right="8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-90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-358946</wp:posOffset>
          </wp:positionH>
          <wp:positionV relativeFrom="paragraph">
            <wp:posOffset>-40421</wp:posOffset>
          </wp:positionV>
          <wp:extent cx="7009538" cy="94647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850" l="20586" r="22325" t="30312"/>
                  <a:stretch>
                    <a:fillRect/>
                  </a:stretch>
                </pic:blipFill>
                <pic:spPr>
                  <a:xfrm>
                    <a:off x="0" y="0"/>
                    <a:ext cx="7009538" cy="946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-900" w:firstLine="0"/>
      <w:rPr>
        <w:color w:val="000000"/>
      </w:rPr>
    </w:pPr>
    <w:bookmarkStart w:colFirst="0" w:colLast="0" w:name="_heading=h.30j0zll" w:id="1"/>
    <w:bookmarkEnd w:id="1"/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508000</wp:posOffset>
              </wp:positionV>
              <wp:extent cx="6767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948750" y="3776617"/>
                        <a:ext cx="6794500" cy="6767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dash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508000</wp:posOffset>
              </wp:positionV>
              <wp:extent cx="6767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uk-UA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2C10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nhideWhenUsed w:val="1"/>
    <w:rsid w:val="00263E42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rsid w:val="00263E4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63E42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263E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123F"/>
    <w:pPr>
      <w:spacing w:after="0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123F"/>
    <w:rPr>
      <w:rFonts w:ascii="Lucida Grande" w:cs="Lucida Grande" w:hAnsi="Lucida Grande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snormal" w:customStyle="1">
    <w:name w:val="consnormal"/>
    <w:basedOn w:val="Normal"/>
    <w:rsid w:val="007A4314"/>
    <w:pPr>
      <w:spacing w:after="100" w:afterAutospacing="1" w:before="100" w:beforeAutospacing="1"/>
    </w:pPr>
    <w:rPr>
      <w:rFonts w:ascii="Arial" w:cs="Arial" w:eastAsia="Arial Unicode MS" w:hAnsi="Arial"/>
      <w:color w:val="333333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 w:val="1"/>
    <w:unhideWhenUsed w:val="1"/>
    <w:rsid w:val="001E228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1E228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tyana.k@patients.org.ua" TargetMode="External"/><Relationship Id="rId8" Type="http://schemas.openxmlformats.org/officeDocument/2006/relationships/hyperlink" Target="mailto:tetyana.k@patients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7nJBGM5fuo98b/OopctTZDyow==">CgMxLjAaHQoBMBIYChYIB0ISCgdHZW9yZ2lhEgdDb3VzaW5lGh0KATESGAoWCAdCEgoHR2VvcmdpYRIHQ291c2luZRodCgEyEhgKFggHQhIKB0dlb3JnaWESB0NvdXNpbmUaHQoBMxIYChYIB0ISCgdHZW9yZ2lhEgdDb3VzaW5lGh0KATQSGAoWCAdCEgoHR2VvcmdpYRIHQ291c2luZRodCgE1EhgKFggHQhIKB0dlb3JnaWESB0NvdXNpbmUyCGguZ2pkZ3hzMgloLjMwajB6bGw4AHIhMTlNM09rQTBCVHVXa2dpREJ4WndrUTdpQmxzSlI5c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2023-05-10T09:59:00Z</dcterms:created>
  <dc:creator>Microsoft Office User</dc:creator>
</cp:coreProperties>
</file>