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Додаток 5</w:t>
      </w:r>
      <w:r w:rsidDel="00000000" w:rsidR="00000000" w:rsidRPr="00000000">
        <w:rPr>
          <w:rtl w:val="0"/>
        </w:rPr>
      </w:r>
    </w:p>
    <w:tbl>
      <w:tblPr>
        <w:tblStyle w:val="Table1"/>
        <w:tblW w:w="99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85"/>
        <w:gridCol w:w="7200"/>
        <w:tblGridChange w:id="0">
          <w:tblGrid>
            <w:gridCol w:w="2785"/>
            <w:gridCol w:w="720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ДЕКЛАРАЦІЯ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 відповідності учасника стандартам участі в закупівлі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Назва підприємства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Фактична адреса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Код ЄДРПОУ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Керівник підприємства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(ПІБ, дата зайняття посади)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Сертифікати, нагороди, докази проходження тренінгів персоналом, документи на підтвердження досвіду (за наявності)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Досвід поставки подібних товарів за останні 5 років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Контрагент (назва), предмет поставки, орієнтовний обсяг (в шт або в грн.)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3"/>
              </w:tabs>
              <w:spacing w:after="0" w:before="9" w:line="254" w:lineRule="auto"/>
              <w:ind w:left="65" w:right="267" w:firstLine="2.000000000000001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Учасник зобов’язується повідомити про наявність конфлікту інтересів, в тому числі  родинних зв’язків із будь-яким із співробітників Замовника або із будь-якою особою, що задіяна Виконавчим партнером до виконання проекту або інших проектів, що фінансуються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іжнародною організацією з міграції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66"/>
              </w:tabs>
              <w:spacing w:before="3" w:line="254" w:lineRule="auto"/>
              <w:ind w:right="2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Конфліктом інтересів  можуть вважатися наступні обставини: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9"/>
              </w:tabs>
              <w:spacing w:after="0" w:before="1" w:line="254" w:lineRule="auto"/>
              <w:ind w:left="458" w:right="267" w:hanging="25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тендеру є власником контрольного пакета акцій, засновником, співзасновником підприємства спільно з іншим учасником торгів;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9"/>
              </w:tabs>
              <w:spacing w:after="0" w:before="0" w:line="252.00000000000003" w:lineRule="auto"/>
              <w:ind w:left="458" w:right="267" w:hanging="25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тендеру отримує або отримав будь- які прямі або непрямі дотації від іншого учасника тендеру;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9"/>
              </w:tabs>
              <w:spacing w:after="0" w:before="0" w:line="252.00000000000003" w:lineRule="auto"/>
              <w:ind w:left="458" w:right="268" w:hanging="25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тендеру має одного і того ж представника, як і інший учасник в конкретному тендері;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9"/>
              </w:tabs>
              <w:spacing w:after="0" w:before="0" w:line="254" w:lineRule="auto"/>
              <w:ind w:left="458" w:right="267" w:hanging="25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тендеру має можливість безпосередньо або через третіх сторін отримувати інформацію про або впливати на пропозицію іншого учасника торгів або впливати на рішення Виконавчого партнера про вибір переможця торгів;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9"/>
              </w:tabs>
              <w:spacing w:after="0" w:before="0" w:line="249" w:lineRule="auto"/>
              <w:ind w:left="458" w:right="267" w:hanging="25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тендеру брав участь в якості консультанта / експерта при підготовці дизайну або технічної специфікації товарів, робіт і послуг, що є предметом закупівлі.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67" w:right="267" w:firstLine="9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визнає та погоджується, що у випадку, щодо якого встановлено наявність прихованого або явного конфлікту інтересів з Замовником             або з конкуруючим учасником торгів, такого учасника буде дискваліфіковано від подальшої участі у торгах/конкурсі.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67" w:right="267" w:firstLine="9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підтверджує, що вся інформація,  документація що надається є дійсною, чинною, належною і достовірною.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2313"/>
                <w:tab w:val="left" w:leader="none" w:pos="3494"/>
                <w:tab w:val="left" w:leader="none" w:pos="3707"/>
              </w:tabs>
              <w:spacing w:after="0" w:before="28" w:line="254" w:lineRule="auto"/>
              <w:ind w:left="697" w:right="229" w:hanging="54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підтверджує, що не є залученим   до  будь-яких  видів терористичної та/або кримінальної діяльності а також декларує відсутності будь-якого відношення до осіб, пов’язаних з терористичною та/або кримінальною діяльністю, а також відсутності конфлікту інтересів, податкової заборгованості та не перебування в процесі ліквідації, банкрутства,</w:t>
              <w:tab/>
              <w:t xml:space="preserve">відкритого</w:t>
              <w:tab/>
              <w:tab/>
              <w:t xml:space="preserve">судового провадження.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26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tabs>
                <w:tab w:val="left" w:leader="none" w:pos="709"/>
                <w:tab w:val="left" w:leader="none" w:pos="2313"/>
                <w:tab w:val="left" w:leader="none" w:pos="3494"/>
                <w:tab w:val="left" w:leader="none" w:pos="3707"/>
              </w:tabs>
              <w:spacing w:before="28" w:line="254" w:lineRule="auto"/>
              <w:ind w:right="22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709"/>
                <w:tab w:val="left" w:leader="none" w:pos="2313"/>
                <w:tab w:val="left" w:leader="none" w:pos="3494"/>
                <w:tab w:val="left" w:leader="none" w:pos="3707"/>
              </w:tabs>
              <w:spacing w:before="28" w:line="254" w:lineRule="auto"/>
              <w:ind w:right="22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709"/>
                <w:tab w:val="left" w:leader="none" w:pos="2313"/>
                <w:tab w:val="left" w:leader="none" w:pos="3494"/>
                <w:tab w:val="left" w:leader="none" w:pos="3707"/>
              </w:tabs>
              <w:spacing w:before="28" w:line="254" w:lineRule="auto"/>
              <w:ind w:right="22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Посада: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09"/>
                <w:tab w:val="left" w:leader="none" w:pos="2313"/>
                <w:tab w:val="left" w:leader="none" w:pos="3494"/>
                <w:tab w:val="left" w:leader="none" w:pos="3707"/>
              </w:tabs>
              <w:spacing w:before="28" w:line="254" w:lineRule="auto"/>
              <w:ind w:right="22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ПІБ: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485" w:hanging="255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0"/>
      <w:numFmt w:val="bullet"/>
      <w:lvlText w:val="•"/>
      <w:lvlJc w:val="left"/>
      <w:pPr>
        <w:ind w:left="887" w:hanging="255"/>
      </w:pPr>
      <w:rPr/>
    </w:lvl>
    <w:lvl w:ilvl="2">
      <w:start w:val="0"/>
      <w:numFmt w:val="bullet"/>
      <w:lvlText w:val="•"/>
      <w:lvlJc w:val="left"/>
      <w:pPr>
        <w:ind w:left="1295" w:hanging="255"/>
      </w:pPr>
      <w:rPr/>
    </w:lvl>
    <w:lvl w:ilvl="3">
      <w:start w:val="0"/>
      <w:numFmt w:val="bullet"/>
      <w:lvlText w:val="•"/>
      <w:lvlJc w:val="left"/>
      <w:pPr>
        <w:ind w:left="1703" w:hanging="255"/>
      </w:pPr>
      <w:rPr/>
    </w:lvl>
    <w:lvl w:ilvl="4">
      <w:start w:val="0"/>
      <w:numFmt w:val="bullet"/>
      <w:lvlText w:val="•"/>
      <w:lvlJc w:val="left"/>
      <w:pPr>
        <w:ind w:left="2111" w:hanging="255"/>
      </w:pPr>
      <w:rPr/>
    </w:lvl>
    <w:lvl w:ilvl="5">
      <w:start w:val="0"/>
      <w:numFmt w:val="bullet"/>
      <w:lvlText w:val="•"/>
      <w:lvlJc w:val="left"/>
      <w:pPr>
        <w:ind w:left="2519" w:hanging="255"/>
      </w:pPr>
      <w:rPr/>
    </w:lvl>
    <w:lvl w:ilvl="6">
      <w:start w:val="0"/>
      <w:numFmt w:val="bullet"/>
      <w:lvlText w:val="•"/>
      <w:lvlJc w:val="left"/>
      <w:pPr>
        <w:ind w:left="2927" w:hanging="255"/>
      </w:pPr>
      <w:rPr/>
    </w:lvl>
    <w:lvl w:ilvl="7">
      <w:start w:val="0"/>
      <w:numFmt w:val="bullet"/>
      <w:lvlText w:val="•"/>
      <w:lvlJc w:val="left"/>
      <w:pPr>
        <w:ind w:left="3335" w:hanging="255"/>
      </w:pPr>
      <w:rPr/>
    </w:lvl>
    <w:lvl w:ilvl="8">
      <w:start w:val="0"/>
      <w:numFmt w:val="bullet"/>
      <w:lvlText w:val="•"/>
      <w:lvlJc w:val="left"/>
      <w:pPr>
        <w:ind w:left="3743" w:hanging="255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43" w:hanging="360"/>
      </w:pPr>
      <w:rPr/>
    </w:lvl>
    <w:lvl w:ilvl="1">
      <w:start w:val="1"/>
      <w:numFmt w:val="lowerLetter"/>
      <w:lvlText w:val="%2."/>
      <w:lvlJc w:val="left"/>
      <w:pPr>
        <w:ind w:left="1763" w:hanging="360"/>
      </w:pPr>
      <w:rPr/>
    </w:lvl>
    <w:lvl w:ilvl="2">
      <w:start w:val="1"/>
      <w:numFmt w:val="lowerRoman"/>
      <w:lvlText w:val="%3."/>
      <w:lvlJc w:val="right"/>
      <w:pPr>
        <w:ind w:left="2483" w:hanging="180"/>
      </w:pPr>
      <w:rPr/>
    </w:lvl>
    <w:lvl w:ilvl="3">
      <w:start w:val="1"/>
      <w:numFmt w:val="decimal"/>
      <w:lvlText w:val="%4."/>
      <w:lvlJc w:val="left"/>
      <w:pPr>
        <w:ind w:left="3203" w:hanging="360"/>
      </w:pPr>
      <w:rPr/>
    </w:lvl>
    <w:lvl w:ilvl="4">
      <w:start w:val="1"/>
      <w:numFmt w:val="lowerLetter"/>
      <w:lvlText w:val="%5."/>
      <w:lvlJc w:val="left"/>
      <w:pPr>
        <w:ind w:left="3923" w:hanging="360"/>
      </w:pPr>
      <w:rPr/>
    </w:lvl>
    <w:lvl w:ilvl="5">
      <w:start w:val="1"/>
      <w:numFmt w:val="lowerRoman"/>
      <w:lvlText w:val="%6."/>
      <w:lvlJc w:val="right"/>
      <w:pPr>
        <w:ind w:left="4643" w:hanging="180"/>
      </w:pPr>
      <w:rPr/>
    </w:lvl>
    <w:lvl w:ilvl="6">
      <w:start w:val="1"/>
      <w:numFmt w:val="decimal"/>
      <w:lvlText w:val="%7."/>
      <w:lvlJc w:val="left"/>
      <w:pPr>
        <w:ind w:left="5363" w:hanging="360"/>
      </w:pPr>
      <w:rPr/>
    </w:lvl>
    <w:lvl w:ilvl="7">
      <w:start w:val="1"/>
      <w:numFmt w:val="lowerLetter"/>
      <w:lvlText w:val="%8."/>
      <w:lvlJc w:val="left"/>
      <w:pPr>
        <w:ind w:left="6083" w:hanging="360"/>
      </w:pPr>
      <w:rPr/>
    </w:lvl>
    <w:lvl w:ilvl="8">
      <w:start w:val="1"/>
      <w:numFmt w:val="lowerRoman"/>
      <w:lvlText w:val="%9."/>
      <w:lvlJc w:val="right"/>
      <w:pPr>
        <w:ind w:left="6803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o1MORSgmKsFipYv2HXsbbYpKQ==">CgMxLjA4AHIhMVM5cElNdjVBMnQ1VEdOZEhieGVDaU1zbEI4alU5bHlE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