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Додаток №2</w:t>
      </w:r>
    </w:p>
    <w:p w:rsidR="00000000" w:rsidDel="00000000" w:rsidP="00000000" w:rsidRDefault="00000000" w:rsidRPr="00000000" w14:paraId="00000003">
      <w:pPr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Вимоги до предмету закупівлі і місц</w:t>
      </w:r>
      <w:r w:rsidDel="00000000" w:rsidR="00000000" w:rsidRPr="00000000">
        <w:rPr>
          <w:b w:val="1"/>
          <w:rtl w:val="0"/>
        </w:rPr>
        <w:t xml:space="preserve">я</w:t>
      </w:r>
      <w:r w:rsidDel="00000000" w:rsidR="00000000" w:rsidRPr="00000000">
        <w:rPr>
          <w:b w:val="1"/>
          <w:color w:val="000000"/>
          <w:rtl w:val="0"/>
        </w:rPr>
        <w:t xml:space="preserve"> поставки</w:t>
      </w:r>
    </w:p>
    <w:p w:rsidR="00000000" w:rsidDel="00000000" w:rsidP="00000000" w:rsidRDefault="00000000" w:rsidRPr="00000000" w14:paraId="00000005">
      <w:pPr>
        <w:spacing w:after="60" w:line="259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4"/>
        <w:gridCol w:w="6337"/>
        <w:gridCol w:w="1393"/>
        <w:gridCol w:w="1300"/>
        <w:tblGridChange w:id="0">
          <w:tblGrid>
            <w:gridCol w:w="604"/>
            <w:gridCol w:w="6337"/>
            <w:gridCol w:w="1393"/>
            <w:gridCol w:w="1300"/>
          </w:tblGrid>
        </w:tblGridChange>
      </w:tblGrid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lineRule="auto"/>
              <w:ind w:right="-81"/>
              <w:jc w:val="center"/>
              <w:rPr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Найменування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Кількість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Одиниця виміру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Реабілітаційна доріжка RUN 2011/TJ-PC або еквівалент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шт.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Поручні для реабілітаційної доріжки RUN 2011/TJ-PC або її еквіваленту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шт.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Підвіс для реабілітаційної доріжки RUN 2011/TJ-PC або її еквіваленту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шт.</w:t>
            </w:r>
          </w:p>
        </w:tc>
      </w:tr>
    </w:tbl>
    <w:p w:rsidR="00000000" w:rsidDel="00000000" w:rsidP="00000000" w:rsidRDefault="00000000" w:rsidRPr="00000000" w14:paraId="00000016">
      <w:pPr>
        <w:spacing w:after="60" w:line="25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Реабілітаційна доріжка RUN 2011/TJ-PC або еквівалент</w:t>
      </w:r>
    </w:p>
    <w:p w:rsidR="00000000" w:rsidDel="00000000" w:rsidP="00000000" w:rsidRDefault="00000000" w:rsidRPr="00000000" w14:paraId="00000018">
      <w:pPr>
        <w:ind w:left="64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3889"/>
        <w:gridCol w:w="2268"/>
        <w:gridCol w:w="3402"/>
        <w:tblGridChange w:id="0">
          <w:tblGrid>
            <w:gridCol w:w="704"/>
            <w:gridCol w:w="3889"/>
            <w:gridCol w:w="2268"/>
            <w:gridCol w:w="3402"/>
          </w:tblGrid>
        </w:tblGridChange>
      </w:tblGrid>
      <w:tr>
        <w:trPr>
          <w:cantSplit w:val="1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Технічні вимоги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Відповідність</w:t>
            </w:r>
          </w:p>
          <w:p w:rsidR="00000000" w:rsidDel="00000000" w:rsidP="00000000" w:rsidRDefault="00000000" w:rsidRPr="00000000" w14:paraId="0000001C">
            <w:pPr>
              <w:widowControl w:val="0"/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Посилання на сторінку(и) технічного документу виробника/інструкції</w:t>
            </w:r>
          </w:p>
        </w:tc>
      </w:tr>
      <w:tr>
        <w:trPr>
          <w:cantSplit w:val="1"/>
          <w:trHeight w:val="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tabs>
                <w:tab w:val="left" w:leader="none" w:pos="16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Бігова доріжка електрична з нахилом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Живлення 220 ~ 240 В змінного струму, 50/60 Гц, 10 Ампер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Трансформатор – не більше 1700 ВА;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Довжина доріжки – не менше 185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Висота доріжки – не більше 145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Ширина доріжки – не менше 70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Довжина бігового полотна – не менше 140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Ширина бігового полотна – не більше 48 см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Вага доріжки – не більше 145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Максимальна вага пацієнта – не менше 150 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Швидкість регулювання руху вперед – від 0,1 до 20,0 км/год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Швидкість регулювання руху заднім ходом – від 0,1 до 5,0 км/год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Приріст швидкості – 0,1 км/год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Максимальний нахил – не менше 22%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Приріст нахилу – 0,5 - 1%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 колеса для пересування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Двигун – не менше 2 к.с. змінного струму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Потужність на максимальній швидкості – не менше 2000 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Номінальна потужність – не менше 1500 ВА;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Шум – не більше 30 дБ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Мінімально 10,1-дюймовий сенсорний монітор, резистивний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Вихід RS232 для підключення до зовнішнього обладнання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Кнопкова та важіль аварійної зупинки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створення не менше 100 безкоштовних профілів користувачів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 функції консолі: Кардіо, Спалювання жиру, Час, Дистанція, Калорії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tabs>
                <w:tab w:val="left" w:leader="none" w:pos="354"/>
              </w:tabs>
              <w:spacing w:after="60" w:lineRule="auto"/>
              <w:ind w:left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запрограмованих тестів для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тренуватися з постійним пульсом і навантаженням, зі зростаючим навантаженням та з оцінкою максимально пройденої відстані.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spacing w:after="160" w:line="25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Поручні для реабілітаційної доріжки RUN 2011/TJ-PC або її еквіваленту</w:t>
      </w:r>
    </w:p>
    <w:tbl>
      <w:tblPr>
        <w:tblStyle w:val="Table3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4"/>
        <w:gridCol w:w="3889"/>
        <w:gridCol w:w="2268"/>
        <w:gridCol w:w="3402"/>
        <w:tblGridChange w:id="0">
          <w:tblGrid>
            <w:gridCol w:w="784"/>
            <w:gridCol w:w="3889"/>
            <w:gridCol w:w="2268"/>
            <w:gridCol w:w="3402"/>
          </w:tblGrid>
        </w:tblGridChange>
      </w:tblGrid>
      <w:tr>
        <w:trPr>
          <w:cantSplit w:val="1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Технічні вимоги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Відповідність</w:t>
            </w:r>
          </w:p>
          <w:p w:rsidR="00000000" w:rsidDel="00000000" w:rsidP="00000000" w:rsidRDefault="00000000" w:rsidRPr="00000000" w14:paraId="0000008B">
            <w:pPr>
              <w:widowControl w:val="0"/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Посилання на сторінку(и) технічного документу виробника/інструкції</w:t>
            </w:r>
          </w:p>
        </w:tc>
      </w:tr>
      <w:tr>
        <w:trPr>
          <w:cantSplit w:val="1"/>
          <w:trHeight w:val="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Поручні сумісні з реабілітаційною доріжкою RUN 2011/TJ-PC або її еквівалентом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Для встановлення не менше 2 точок опори для однієї сторони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Верхня точна кріплення має одягатись на каркас бігової доріжки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Нижня точка кріплення має фіксуватись затисним механізмом до платформи бігової доріжки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доукомплектовувати великими опорами для пахв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Можливість доукомплектовувати додатковими регульованими поручнями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ind w:left="644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Підвіс для реабілітаційної доріжки RUN 2011/TJ-PC або її еквіваленту</w:t>
      </w:r>
    </w:p>
    <w:p w:rsidR="00000000" w:rsidDel="00000000" w:rsidP="00000000" w:rsidRDefault="00000000" w:rsidRPr="00000000" w14:paraId="000000A7">
      <w:pPr>
        <w:spacing w:after="160" w:line="259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4"/>
        <w:gridCol w:w="3889"/>
        <w:gridCol w:w="2268"/>
        <w:gridCol w:w="3402"/>
        <w:tblGridChange w:id="0">
          <w:tblGrid>
            <w:gridCol w:w="784"/>
            <w:gridCol w:w="3889"/>
            <w:gridCol w:w="2268"/>
            <w:gridCol w:w="3402"/>
          </w:tblGrid>
        </w:tblGridChange>
      </w:tblGrid>
      <w:tr>
        <w:trPr>
          <w:cantSplit w:val="1"/>
          <w:trHeight w:val="6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Технічні вимоги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Відповідність</w:t>
            </w:r>
          </w:p>
          <w:p w:rsidR="00000000" w:rsidDel="00000000" w:rsidP="00000000" w:rsidRDefault="00000000" w:rsidRPr="00000000" w14:paraId="000000AB">
            <w:pPr>
              <w:widowControl w:val="0"/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(так/ні)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ind w:left="-142" w:right="-164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Посилання на сторінку(и) технічного документу виробника/інструкції</w:t>
            </w:r>
          </w:p>
        </w:tc>
      </w:tr>
      <w:tr>
        <w:trPr>
          <w:cantSplit w:val="1"/>
          <w:trHeight w:val="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Підвіс сумісний з реабілітаційною доріжкою RUN 2011/TJ-PC або її еквівалентом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Тросова система підтримки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Мінімально 3 троса зачеплені карабіном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 комплекті має бути слінг, розмір 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Мінімально 6 позицій регулювання відстані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Максимальна вага пацієнтів – не менше 150 кг.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Наявність розкидної планки в комплекті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tabs>
                <w:tab w:val="left" w:leader="none" w:pos="354"/>
              </w:tabs>
              <w:spacing w:after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Для використання необхідні довгі поручні сумісні з реабілітаційною доріжкою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tabs>
                <w:tab w:val="left" w:leader="none" w:pos="354"/>
              </w:tabs>
              <w:spacing w:after="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60" w:lineRule="auto"/>
        <w:jc w:val="both"/>
        <w:rPr/>
      </w:pPr>
      <w:r w:rsidDel="00000000" w:rsidR="00000000" w:rsidRPr="00000000">
        <w:rPr>
          <w:rtl w:val="0"/>
        </w:rPr>
        <w:t xml:space="preserve">Загальні вимоги: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Поставка</w:t>
      </w:r>
      <w:r w:rsidDel="00000000" w:rsidR="00000000" w:rsidRPr="00000000">
        <w:rPr>
          <w:color w:val="000000"/>
          <w:rtl w:val="0"/>
        </w:rPr>
        <w:t xml:space="preserve">: здійснюється згідно заявки Замовника. Проведення поставки, доставки до Отримувача, інсталяції, інструктаж (навчання) по роботі з обладнанням здійснюються за рахунок учасника та повинні проводиться кваліфікованими фахівцями і включениу вартість товару. Вартість товару </w:t>
      </w:r>
      <w:r w:rsidDel="00000000" w:rsidR="00000000" w:rsidRPr="00000000">
        <w:rPr>
          <w:rtl w:val="0"/>
        </w:rPr>
        <w:t xml:space="preserve">визначається і підлягає оплаті в національній грошовій одиниці.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Товар не є походженням  з країни-агресора або Республіки Білорусь.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Термін поставки</w:t>
      </w:r>
      <w:r w:rsidDel="00000000" w:rsidR="00000000" w:rsidRPr="00000000">
        <w:rPr>
          <w:color w:val="000000"/>
          <w:rtl w:val="0"/>
        </w:rPr>
        <w:t xml:space="preserve"> товару: не пізніше 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04</w:t>
      </w:r>
      <w:r w:rsidDel="00000000" w:rsidR="00000000" w:rsidRPr="00000000">
        <w:rPr>
          <w:color w:val="000000"/>
          <w:rtl w:val="0"/>
        </w:rPr>
        <w:t xml:space="preserve">.2</w:t>
      </w:r>
      <w:r w:rsidDel="00000000" w:rsidR="00000000" w:rsidRPr="00000000">
        <w:rPr>
          <w:rtl w:val="0"/>
        </w:rPr>
        <w:t xml:space="preserve">024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Вимоги до тари та упаковки</w:t>
      </w:r>
      <w:r w:rsidDel="00000000" w:rsidR="00000000" w:rsidRPr="00000000">
        <w:rPr>
          <w:color w:val="000000"/>
          <w:rtl w:val="0"/>
        </w:rPr>
        <w:t xml:space="preserve">: Товар повинен бути упакований належним чином, що забезпечує його цілісність, збереження при перевезенні, навантажувально-розвантажувальних роботах та зберіганні.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Всі посилання на конкретну марку, виробника, фірму, патент, конструкцію або тип предмета закупівлі, джерело його походження або виробника, слід читати з виразом «або еквівалент». При цьому запропонований учасником еквівалент товару за своїми медико-технічними характеристиками повинен бути не гіршим, ніж </w:t>
      </w:r>
      <w:r w:rsidDel="00000000" w:rsidR="00000000" w:rsidRPr="00000000">
        <w:rPr>
          <w:rtl w:val="0"/>
        </w:rPr>
        <w:t xml:space="preserve">це вимагається</w:t>
      </w:r>
      <w:r w:rsidDel="00000000" w:rsidR="00000000" w:rsidRPr="00000000">
        <w:rPr>
          <w:color w:val="000000"/>
          <w:rtl w:val="0"/>
        </w:rPr>
        <w:t xml:space="preserve"> згідно цієї тендерної документації.</w:t>
      </w:r>
    </w:p>
    <w:p w:rsidR="00000000" w:rsidDel="00000000" w:rsidP="00000000" w:rsidRDefault="00000000" w:rsidRPr="00000000" w14:paraId="000000D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Учасник, подаючи свою пропозицію, тим самим погоджується, що його пропозиція може бути відхилена у разі, якщо ним була надана недостовірна інформація щодо відповідності запропонованого ним товару технічним вимогам Замовника, або товар, який представляється ним </w:t>
      </w:r>
      <w:r w:rsidDel="00000000" w:rsidR="00000000" w:rsidRPr="00000000">
        <w:rPr>
          <w:rtl w:val="0"/>
        </w:rPr>
        <w:t xml:space="preserve">для цієї закупівлі</w:t>
      </w:r>
      <w:r w:rsidDel="00000000" w:rsidR="00000000" w:rsidRPr="00000000">
        <w:rPr>
          <w:color w:val="000000"/>
          <w:rtl w:val="0"/>
        </w:rPr>
        <w:t xml:space="preserve">, не відповідає технічним вимогам. </w:t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Замовник для перевірки відповідності запропонованого Учасником товару може використовувати інформацію, розміщену в мережі Internet.</w:t>
      </w:r>
    </w:p>
    <w:p w:rsidR="00000000" w:rsidDel="00000000" w:rsidP="00000000" w:rsidRDefault="00000000" w:rsidRPr="00000000" w14:paraId="000000D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Всі документи, що подаються учасником (в тому числі і документація щодо предмету поставки) має бути засвідчена підписом учасника та печаткою (за наявності).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Пропозиції будуть оцінені за ключовим критерієм економічної ефективності. При оцінці пропозицій учасників до уваги також буде взятий досвід поставки подібної продукції учасником, спроможність учасника дотримуватись очікуваних умов поставки та оплати.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b w:val="1"/>
          <w:rtl w:val="0"/>
        </w:rPr>
        <w:t xml:space="preserve">Місця поставки: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spacing w:line="264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Комунальне некомерційне підприємство «Миргородська лікарня інтенсивного лікування» Миргородської міської ради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64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Код ЄДРПОУ: 01999402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64" w:lineRule="auto"/>
        <w:ind w:left="720" w:firstLine="0"/>
        <w:rPr/>
      </w:pPr>
      <w:r w:rsidDel="00000000" w:rsidR="00000000" w:rsidRPr="00000000">
        <w:rPr>
          <w:rtl w:val="0"/>
        </w:rPr>
        <w:t xml:space="preserve">Адреса доставки: Україна, 37600, Полтавська обл., м. Миргород, вул. Гоголя, буд. 172</w:t>
      </w:r>
    </w:p>
    <w:p w:rsidR="00000000" w:rsidDel="00000000" w:rsidP="00000000" w:rsidRDefault="00000000" w:rsidRPr="00000000" w14:paraId="000000DD">
      <w:pPr>
        <w:spacing w:line="264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"/>
        <w:gridCol w:w="7475"/>
        <w:gridCol w:w="1560"/>
        <w:tblGridChange w:id="0">
          <w:tblGrid>
            <w:gridCol w:w="458"/>
            <w:gridCol w:w="7475"/>
            <w:gridCol w:w="156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d8d8d8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Назва (перелік) Товару</w:t>
            </w:r>
          </w:p>
        </w:tc>
        <w:tc>
          <w:tcPr>
            <w:shd w:fill="d8d8d8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Кількість, шт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Реабілітаційна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доріжка RUN 2011/T-PC з поручнями, без підвісу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 1</w:t>
            </w:r>
          </w:p>
        </w:tc>
      </w:tr>
    </w:tbl>
    <w:p w:rsidR="00000000" w:rsidDel="00000000" w:rsidP="00000000" w:rsidRDefault="00000000" w:rsidRPr="00000000" w14:paraId="000000E4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spacing w:line="264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Комунальне некомерційне підприємство «Міська клінічна лікарня № 16» Дніпропетровської міської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64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Код ЄДРПОУ: 01984624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64" w:lineRule="auto"/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Адреса доставки: Україна, 49069, м. Дніпро, просп. Богдана Хмельницького, буд.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64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"/>
        <w:gridCol w:w="7475"/>
        <w:gridCol w:w="1560"/>
        <w:tblGridChange w:id="0">
          <w:tblGrid>
            <w:gridCol w:w="458"/>
            <w:gridCol w:w="7475"/>
            <w:gridCol w:w="156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dbdbdb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d8d8d8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Назва (перелік) Товару</w:t>
            </w:r>
          </w:p>
        </w:tc>
        <w:tc>
          <w:tcPr>
            <w:shd w:fill="d8d8d8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Кількість, шт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Реабілітаційна доріжка RUN 2011/TJ-PC або еквівалент з поручнями, з підвісом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850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276" w:lineRule="auto"/>
      <w:ind w:left="1440" w:hanging="360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280" w:before="280" w:lineRule="auto"/>
      <w:ind w:left="2160" w:hanging="180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276" w:lineRule="auto"/>
      <w:ind w:left="1440" w:hanging="360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280" w:before="280" w:lineRule="auto"/>
      <w:ind w:left="2160" w:hanging="180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276" w:lineRule="auto"/>
      <w:ind w:left="1440" w:hanging="360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280" w:before="280" w:lineRule="auto"/>
      <w:ind w:left="2160" w:hanging="180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  <w:jc w:val="both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276" w:lineRule="auto"/>
      <w:ind w:left="1440" w:hanging="360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280" w:before="280" w:lineRule="auto"/>
      <w:ind w:left="2160" w:hanging="180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</w:rPr>
  </w:style>
  <w:style w:type="paragraph" w:styleId="a" w:default="1">
    <w:name w:val="Normal"/>
    <w:qFormat w:val="1"/>
    <w:rsid w:val="00A879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ru-UA"/>
    </w:rPr>
  </w:style>
  <w:style w:type="paragraph" w:styleId="1">
    <w:name w:val="heading 1"/>
    <w:basedOn w:val="a"/>
    <w:next w:val="a"/>
    <w:link w:val="10"/>
    <w:uiPriority w:val="9"/>
    <w:qFormat w:val="1"/>
    <w:rsid w:val="008C7E74"/>
    <w:pPr>
      <w:keepNext w:val="1"/>
      <w:suppressAutoHyphens w:val="1"/>
      <w:ind w:left="720" w:hanging="360"/>
      <w:jc w:val="both"/>
      <w:outlineLvl w:val="0"/>
    </w:pPr>
    <w:rPr>
      <w:sz w:val="28"/>
      <w:szCs w:val="20"/>
      <w:lang w:eastAsia="zh-CN" w:val="uk-UA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8C7E74"/>
    <w:pPr>
      <w:keepNext w:val="1"/>
      <w:suppressAutoHyphens w:val="1"/>
      <w:spacing w:line="276" w:lineRule="auto"/>
      <w:ind w:left="1440" w:hanging="360"/>
      <w:jc w:val="center"/>
      <w:outlineLvl w:val="1"/>
    </w:pPr>
    <w:rPr>
      <w:rFonts w:eastAsia="Calibri"/>
      <w:b w:val="1"/>
      <w:sz w:val="28"/>
      <w:szCs w:val="28"/>
      <w:lang w:eastAsia="zh-CN" w:val="ru-RU"/>
    </w:rPr>
  </w:style>
  <w:style w:type="paragraph" w:styleId="3">
    <w:name w:val="heading 3"/>
    <w:basedOn w:val="a"/>
    <w:next w:val="a0"/>
    <w:link w:val="30"/>
    <w:uiPriority w:val="9"/>
    <w:semiHidden w:val="1"/>
    <w:unhideWhenUsed w:val="1"/>
    <w:qFormat w:val="1"/>
    <w:rsid w:val="008C7E74"/>
    <w:pPr>
      <w:suppressAutoHyphens w:val="1"/>
      <w:spacing w:after="280" w:before="280"/>
      <w:ind w:left="2160" w:hanging="180"/>
      <w:outlineLvl w:val="2"/>
    </w:pPr>
    <w:rPr>
      <w:b w:val="1"/>
      <w:bCs w:val="1"/>
      <w:sz w:val="27"/>
      <w:szCs w:val="27"/>
      <w:lang w:eastAsia="zh-CN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rsid w:val="00640BAF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rsid w:val="00640B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rsid w:val="00640B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paragraph" w:styleId="11" w:customStyle="1">
    <w:name w:val="Обычный1"/>
    <w:rsid w:val="00112A79"/>
  </w:style>
  <w:style w:type="table" w:styleId="TableNormal" w:customStyle="1">
    <w:name w:val="Table Normal"/>
    <w:rsid w:val="00112A7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"/>
    <w:next w:val="a"/>
    <w:uiPriority w:val="10"/>
    <w:qFormat w:val="1"/>
    <w:rsid w:val="00640BAF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sz w:val="72"/>
      <w:szCs w:val="72"/>
      <w:lang w:val="uk-UA"/>
    </w:rPr>
  </w:style>
  <w:style w:type="table" w:styleId="TableNormal0" w:customStyle="1">
    <w:name w:val="Table Normal"/>
    <w:rsid w:val="00640B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Balloon Text"/>
    <w:basedOn w:val="a"/>
    <w:link w:val="a6"/>
    <w:uiPriority w:val="99"/>
    <w:semiHidden w:val="1"/>
    <w:unhideWhenUsed w:val="1"/>
    <w:rsid w:val="008F522F"/>
    <w:rPr>
      <w:rFonts w:ascii="Segoe UI" w:cs="Segoe UI" w:hAnsi="Segoe UI"/>
      <w:sz w:val="18"/>
      <w:szCs w:val="18"/>
    </w:rPr>
  </w:style>
  <w:style w:type="character" w:styleId="a6" w:customStyle="1">
    <w:name w:val="Текст выноски Знак"/>
    <w:basedOn w:val="a1"/>
    <w:link w:val="a5"/>
    <w:uiPriority w:val="99"/>
    <w:semiHidden w:val="1"/>
    <w:rsid w:val="008F522F"/>
    <w:rPr>
      <w:rFonts w:ascii="Segoe UI" w:cs="Segoe UI" w:hAnsi="Segoe UI"/>
      <w:sz w:val="18"/>
      <w:szCs w:val="18"/>
    </w:rPr>
  </w:style>
  <w:style w:type="character" w:styleId="10" w:customStyle="1">
    <w:name w:val="Заголовок 1 Знак"/>
    <w:basedOn w:val="a1"/>
    <w:link w:val="1"/>
    <w:uiPriority w:val="9"/>
    <w:qFormat w:val="1"/>
    <w:rsid w:val="008C7E74"/>
    <w:rPr>
      <w:rFonts w:ascii="Times New Roman" w:cs="Times New Roman" w:eastAsia="Times New Roman" w:hAnsi="Times New Roman"/>
      <w:sz w:val="28"/>
      <w:szCs w:val="20"/>
      <w:lang w:eastAsia="zh-CN"/>
    </w:rPr>
  </w:style>
  <w:style w:type="character" w:styleId="20" w:customStyle="1">
    <w:name w:val="Заголовок 2 Знак"/>
    <w:basedOn w:val="a1"/>
    <w:link w:val="2"/>
    <w:uiPriority w:val="9"/>
    <w:semiHidden w:val="1"/>
    <w:rsid w:val="008C7E74"/>
    <w:rPr>
      <w:rFonts w:ascii="Times New Roman" w:cs="Times New Roman" w:hAnsi="Times New Roman"/>
      <w:b w:val="1"/>
      <w:sz w:val="28"/>
      <w:szCs w:val="28"/>
      <w:lang w:eastAsia="zh-CN" w:val="ru-RU"/>
    </w:rPr>
  </w:style>
  <w:style w:type="character" w:styleId="30" w:customStyle="1">
    <w:name w:val="Заголовок 3 Знак"/>
    <w:basedOn w:val="a1"/>
    <w:link w:val="3"/>
    <w:uiPriority w:val="9"/>
    <w:semiHidden w:val="1"/>
    <w:rsid w:val="008C7E74"/>
    <w:rPr>
      <w:rFonts w:ascii="Times New Roman" w:cs="Times New Roman" w:eastAsia="Times New Roman" w:hAnsi="Times New Roman"/>
      <w:b w:val="1"/>
      <w:bCs w:val="1"/>
      <w:sz w:val="27"/>
      <w:szCs w:val="27"/>
      <w:lang w:eastAsia="zh-CN"/>
    </w:rPr>
  </w:style>
  <w:style w:type="paragraph" w:styleId="WW-1" w:customStyle="1">
    <w:name w:val="WW-Базовый1"/>
    <w:rsid w:val="008C7E74"/>
    <w:pPr>
      <w:suppressAutoHyphens w:val="1"/>
      <w:spacing w:after="0" w:line="240" w:lineRule="auto"/>
    </w:pPr>
    <w:rPr>
      <w:rFonts w:ascii="Times New Roman" w:cs="Times New Roman" w:eastAsia="Arial" w:hAnsi="Times New Roman"/>
      <w:color w:val="00000a"/>
      <w:kern w:val="1"/>
      <w:sz w:val="20"/>
      <w:szCs w:val="20"/>
      <w:lang w:eastAsia="zh-CN"/>
    </w:rPr>
  </w:style>
  <w:style w:type="paragraph" w:styleId="a7">
    <w:name w:val="Normal (Web)"/>
    <w:basedOn w:val="a"/>
    <w:link w:val="a8"/>
    <w:uiPriority w:val="99"/>
    <w:rsid w:val="008C7E74"/>
    <w:pPr>
      <w:suppressAutoHyphens w:val="1"/>
      <w:spacing w:after="280" w:before="280"/>
    </w:pPr>
    <w:rPr>
      <w:lang w:eastAsia="zh-CN" w:val="ru-RU"/>
    </w:rPr>
  </w:style>
  <w:style w:type="character" w:styleId="a8" w:customStyle="1">
    <w:name w:val="Обычный (Интернет) Знак"/>
    <w:link w:val="a7"/>
    <w:locked w:val="1"/>
    <w:rsid w:val="008C7E74"/>
    <w:rPr>
      <w:rFonts w:ascii="Times New Roman" w:cs="Times New Roman" w:eastAsia="Times New Roman" w:hAnsi="Times New Roman"/>
      <w:sz w:val="24"/>
      <w:szCs w:val="24"/>
      <w:lang w:eastAsia="zh-CN" w:val="ru-RU"/>
    </w:rPr>
  </w:style>
  <w:style w:type="table" w:styleId="a9">
    <w:name w:val="Table Grid"/>
    <w:basedOn w:val="a2"/>
    <w:uiPriority w:val="59"/>
    <w:rsid w:val="008C7E74"/>
    <w:pPr>
      <w:spacing w:after="0" w:line="240" w:lineRule="auto"/>
    </w:pPr>
    <w:rPr>
      <w:rFonts w:eastAsia="Times New Roman"/>
      <w:lang w:val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List Paragraph"/>
    <w:basedOn w:val="a"/>
    <w:uiPriority w:val="34"/>
    <w:qFormat w:val="1"/>
    <w:rsid w:val="008C7E74"/>
    <w:pPr>
      <w:ind w:left="720"/>
      <w:contextualSpacing w:val="1"/>
    </w:pPr>
    <w:rPr>
      <w:lang w:val="ru-RU"/>
    </w:rPr>
  </w:style>
  <w:style w:type="paragraph" w:styleId="a0">
    <w:name w:val="Body Text"/>
    <w:basedOn w:val="a"/>
    <w:link w:val="ab"/>
    <w:uiPriority w:val="99"/>
    <w:semiHidden w:val="1"/>
    <w:unhideWhenUsed w:val="1"/>
    <w:rsid w:val="008C7E74"/>
    <w:pPr>
      <w:spacing w:after="120" w:line="259" w:lineRule="auto"/>
    </w:pPr>
    <w:rPr>
      <w:rFonts w:ascii="Calibri" w:cs="Calibri" w:eastAsia="Calibri" w:hAnsi="Calibri"/>
      <w:sz w:val="22"/>
      <w:szCs w:val="22"/>
      <w:lang w:val="uk-UA"/>
    </w:rPr>
  </w:style>
  <w:style w:type="character" w:styleId="ab" w:customStyle="1">
    <w:name w:val="Основной текст Знак"/>
    <w:basedOn w:val="a1"/>
    <w:link w:val="a0"/>
    <w:uiPriority w:val="99"/>
    <w:semiHidden w:val="1"/>
    <w:rsid w:val="008C7E74"/>
  </w:style>
  <w:style w:type="paragraph" w:styleId="ac">
    <w:name w:val="Subtitle"/>
    <w:basedOn w:val="11"/>
    <w:next w:val="11"/>
    <w:rsid w:val="00112A79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2"/>
    <w:rsid w:val="00640BAF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a2"/>
    <w:rsid w:val="00640BA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a2"/>
    <w:rsid w:val="00640BAF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f0">
    <w:name w:val="header"/>
    <w:basedOn w:val="a"/>
    <w:link w:val="af1"/>
    <w:uiPriority w:val="99"/>
    <w:unhideWhenUsed w:val="1"/>
    <w:rsid w:val="00354E96"/>
    <w:pPr>
      <w:tabs>
        <w:tab w:val="center" w:pos="4844"/>
        <w:tab w:val="right" w:pos="9689"/>
      </w:tabs>
    </w:pPr>
    <w:rPr>
      <w:rFonts w:ascii="Calibri" w:cs="Calibri" w:eastAsia="Calibri" w:hAnsi="Calibri"/>
      <w:sz w:val="22"/>
      <w:szCs w:val="22"/>
      <w:lang w:val="uk-UA"/>
    </w:rPr>
  </w:style>
  <w:style w:type="character" w:styleId="af1" w:customStyle="1">
    <w:name w:val="Верхний колонтитул Знак"/>
    <w:basedOn w:val="a1"/>
    <w:link w:val="af0"/>
    <w:uiPriority w:val="99"/>
    <w:rsid w:val="00354E96"/>
  </w:style>
  <w:style w:type="paragraph" w:styleId="af2">
    <w:name w:val="footer"/>
    <w:basedOn w:val="a"/>
    <w:link w:val="af3"/>
    <w:uiPriority w:val="99"/>
    <w:unhideWhenUsed w:val="1"/>
    <w:rsid w:val="00354E96"/>
    <w:pPr>
      <w:tabs>
        <w:tab w:val="center" w:pos="4844"/>
        <w:tab w:val="right" w:pos="9689"/>
      </w:tabs>
    </w:pPr>
    <w:rPr>
      <w:rFonts w:ascii="Calibri" w:cs="Calibri" w:eastAsia="Calibri" w:hAnsi="Calibri"/>
      <w:sz w:val="22"/>
      <w:szCs w:val="22"/>
      <w:lang w:val="uk-UA"/>
    </w:rPr>
  </w:style>
  <w:style w:type="character" w:styleId="af3" w:customStyle="1">
    <w:name w:val="Нижний колонтитул Знак"/>
    <w:basedOn w:val="a1"/>
    <w:link w:val="af2"/>
    <w:uiPriority w:val="99"/>
    <w:rsid w:val="00354E96"/>
  </w:style>
  <w:style w:type="table" w:styleId="af4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a2"/>
    <w:rsid w:val="00640BAF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ff6">
    <w:name w:val="Hyperlink"/>
    <w:basedOn w:val="a1"/>
    <w:uiPriority w:val="99"/>
    <w:unhideWhenUsed w:val="1"/>
    <w:rsid w:val="00F30F16"/>
    <w:rPr>
      <w:color w:val="0563c1" w:themeColor="hyperlink"/>
      <w:u w:val="single"/>
    </w:rPr>
  </w:style>
  <w:style w:type="character" w:styleId="aff7">
    <w:name w:val="FollowedHyperlink"/>
    <w:basedOn w:val="a1"/>
    <w:uiPriority w:val="99"/>
    <w:semiHidden w:val="1"/>
    <w:unhideWhenUsed w:val="1"/>
    <w:rsid w:val="00F30F16"/>
    <w:rPr>
      <w:color w:val="954f72" w:themeColor="followedHyperlink"/>
      <w:u w:val="single"/>
    </w:rPr>
  </w:style>
  <w:style w:type="table" w:styleId="aff8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9" w:customStyle="1">
    <w:basedOn w:val="TableNormal0"/>
    <w:rsid w:val="00112A79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5nI2jIpjZmxfRE0RseRnUgiiw==">CgMxLjAyCGguZ2pkZ3hzOAByITFxcVZzbzFtV195Y2FoZDBQZEU3eUV4Z0tsN2JKb1hGZA==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2023-05-28T18:20:00Z</dcterms:created>
  <dc:creator>Степаненков Володимир Ігорович</dc:creator>
</cp:coreProperties>
</file>